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ED0413" w:rsidRPr="00045841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C9199F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C9199F" w:rsidRDefault="00C9199F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7" name="Рисунок 7" descr="https://xn--b1albebc0apl.xn--80acgfbsl1azdqr.xn--p1ai/media/news/news_99964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lbebc0apl.xn--80acgfbsl1azdqr.xn--p1ai/media/news/news_99964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25" cy="13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13" w:rsidRDefault="00ED0413" w:rsidP="00C9199F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9D6FED" w:rsidRDefault="009D6FED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C9199F" w:rsidRPr="00292D15" w:rsidRDefault="00540D5F" w:rsidP="00C9199F">
      <w:pPr>
        <w:spacing w:after="0" w:line="240" w:lineRule="auto"/>
        <w:jc w:val="center"/>
        <w:outlineLvl w:val="0"/>
        <w:rPr>
          <w:b/>
          <w:i/>
          <w:noProof/>
          <w:color w:val="C00000"/>
          <w:sz w:val="40"/>
          <w:szCs w:val="40"/>
          <w:u w:val="single"/>
          <w:lang w:eastAsia="ru-RU"/>
        </w:rPr>
      </w:pPr>
      <w:r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>ПРАВА И ОБЯЗАННОСТИ</w:t>
      </w:r>
      <w:r w:rsidR="00C9199F"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 xml:space="preserve"> </w:t>
      </w:r>
    </w:p>
    <w:p w:rsidR="007A7857" w:rsidRDefault="00C9199F" w:rsidP="00C9199F">
      <w:pPr>
        <w:spacing w:after="0" w:line="240" w:lineRule="auto"/>
        <w:jc w:val="center"/>
        <w:outlineLvl w:val="0"/>
        <w:rPr>
          <w:b/>
          <w:i/>
          <w:noProof/>
          <w:color w:val="C00000"/>
          <w:sz w:val="40"/>
          <w:szCs w:val="40"/>
          <w:u w:val="single"/>
          <w:lang w:eastAsia="ru-RU"/>
        </w:rPr>
      </w:pPr>
      <w:r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>У УПРАВЛЯЮЩЕЙ КОМПАНИИ</w:t>
      </w:r>
    </w:p>
    <w:p w:rsidR="00292D15" w:rsidRPr="00292D15" w:rsidRDefault="00292D15" w:rsidP="00C9199F">
      <w:pPr>
        <w:spacing w:after="0" w:line="240" w:lineRule="auto"/>
        <w:jc w:val="center"/>
        <w:outlineLvl w:val="0"/>
        <w:rPr>
          <w:i/>
          <w:noProof/>
          <w:color w:val="C00000"/>
          <w:lang w:eastAsia="ru-RU"/>
        </w:rPr>
      </w:pPr>
    </w:p>
    <w:p w:rsidR="009D6FED" w:rsidRPr="00301311" w:rsidRDefault="009D6FED" w:rsidP="00301311">
      <w:pPr>
        <w:spacing w:after="0" w:line="240" w:lineRule="auto"/>
        <w:jc w:val="center"/>
        <w:outlineLvl w:val="0"/>
      </w:pPr>
    </w:p>
    <w:p w:rsidR="00A81314" w:rsidRPr="00C9199F" w:rsidRDefault="007A7857" w:rsidP="00540D5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«</w:t>
      </w:r>
      <w:r w:rsidR="00F44F4B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права управляющей</w:t>
      </w:r>
      <w:r w:rsidR="00540D5F"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 компани</w:t>
      </w:r>
      <w:r w:rsidR="00F44F4B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и</w:t>
      </w: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»</w:t>
      </w:r>
    </w:p>
    <w:p w:rsidR="00646F5B" w:rsidRPr="00D93AA5" w:rsidRDefault="00646F5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F4B" w:rsidRPr="00F44F4B" w:rsidRDefault="00F44F4B" w:rsidP="00C9199F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Georgia" w:hAnsi="Georgia"/>
          <w:iCs/>
          <w:sz w:val="28"/>
          <w:szCs w:val="28"/>
          <w:shd w:val="clear" w:color="auto" w:fill="FFFFFF"/>
        </w:rPr>
      </w:pPr>
      <w:r w:rsidRPr="00F44F4B">
        <w:rPr>
          <w:rFonts w:ascii="Georgia" w:hAnsi="Georgia"/>
          <w:iCs/>
          <w:sz w:val="28"/>
          <w:szCs w:val="28"/>
          <w:shd w:val="clear" w:color="auto" w:fill="FFFFFF"/>
        </w:rPr>
        <w:t>Помимо обязанностей у управляющей компании есть ещё и права. Изучить их также стоит, чтобы не попасть впросак. Все вышеперечисленные пункты составляют основную деятельность управляющей компании. И за свою работу любая организация или руководитель хочет получить денежное вознаграждение.</w:t>
      </w:r>
    </w:p>
    <w:p w:rsidR="00EC5E26" w:rsidRPr="00540D5F" w:rsidRDefault="00EC5E26" w:rsidP="00C9199F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</w:p>
    <w:p w:rsidR="00C33CAD" w:rsidRDefault="00F44F4B" w:rsidP="00F44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Доходы</w:t>
      </w:r>
      <w:r w:rsidR="00935621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управляющей компании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F44F4B" w:rsidRDefault="00F44F4B" w:rsidP="00F44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F44F4B" w:rsidRDefault="00F44F4B" w:rsidP="00F44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Доходы управляющей компании на данные затраты идут из статьи содержания жилья. Если есть такая строчка как ремонт жилья, то она идёт плюсом и сборы с неё идут на проведение аварийных работ. Надо понимать, что для выполнения всех видов обязательных работ требуются значительные финансы, а мы не указали такие пункты как раскрытие информации, проведение аттестации работников, ведение бухгалтерского учёта и многое другое. </w:t>
      </w:r>
    </w:p>
    <w:p w:rsidR="00F44F4B" w:rsidRDefault="00F44F4B" w:rsidP="00F44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этом случае у управляющей компании есть право инициировать собрание собственников по вопросу увеличения тарифа на содержание или ремонт жилья. Собрание должно проводиться с предоставлением сметы расходов, обоснованием расчета и других аргументов, которые могут повлиять на принятие решения. Если решение об увеличение тарифа не принято, это не значит, что обязанности УК теряются, работа должны быть продолжена в соответствии с действующим законодательством. </w:t>
      </w:r>
    </w:p>
    <w:p w:rsidR="00F44F4B" w:rsidRDefault="00F44F4B" w:rsidP="00F44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Главное же право, как я считаю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есть у управляющей компании — это отсутствие необходимости проводить капитальный ремонт за деньги собственников, собранных по статье содержание и ремонт жилья. </w:t>
      </w: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Приведем один из самых распространённых примеров. Проведение ремонта балконов. Балконы являются </w:t>
      </w:r>
      <w:proofErr w:type="spellStart"/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общедолевым</w:t>
      </w:r>
      <w:proofErr w:type="spellEnd"/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имуществом и их ремонтом должна заниматься УК. Но если балконы находятся в состоянии требующим капитального ремонта, то работы они могут не производить. В этом случае их обязанность провести мероприятия по изменению сроков проведения капитального ремонта балконов в этом доме на более </w:t>
      </w:r>
      <w:proofErr w:type="gramStart"/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ранний</w:t>
      </w:r>
      <w:proofErr w:type="gramEnd"/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 Так должно происходить с любым видом работ, требующим капитального ремонта.</w:t>
      </w:r>
    </w:p>
    <w:p w:rsidR="00935621" w:rsidRPr="00F44F4B" w:rsidRDefault="00F44F4B" w:rsidP="00F44F4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Аналогичная ситуация и оконными рамами в подъездах. Если они находятся в плачевном состоянии, но не сломаны, то управляющая компания вряд ли будет тратить свою прибыль на замену устаревших конструкций. И никакая организация не сможет обязать это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F44F4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сделать.</w:t>
      </w:r>
      <w:r w:rsidRPr="00F44F4B">
        <w:rPr>
          <w:rFonts w:ascii="Times New Roman" w:hAnsi="Times New Roman" w:cs="Times New Roman"/>
          <w:iCs/>
          <w:sz w:val="28"/>
          <w:szCs w:val="28"/>
        </w:rPr>
        <w:br/>
      </w:r>
    </w:p>
    <w:p w:rsidR="00F44F4B" w:rsidRDefault="00F44F4B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Взыскание долгов </w:t>
      </w:r>
      <w:proofErr w:type="gramStart"/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</w:p>
    <w:p w:rsidR="00935621" w:rsidRDefault="00F44F4B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жилищно-коммунальные услуги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F44F4B" w:rsidRPr="00C9199F" w:rsidRDefault="00F44F4B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935621" w:rsidRDefault="00F44F4B" w:rsidP="00F44F4B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F44F4B">
        <w:rPr>
          <w:iCs/>
          <w:sz w:val="28"/>
          <w:szCs w:val="28"/>
          <w:shd w:val="clear" w:color="auto" w:fill="FFFFFF"/>
        </w:rPr>
        <w:t xml:space="preserve">Одним из самых сложных моментов в работе любой управляющей компании это задолжники, с которых иногда и по суду взять нечего. Взыскание коммунальных услуг возможно только через суд. Хотя </w:t>
      </w:r>
      <w:r w:rsidR="00ED0413">
        <w:rPr>
          <w:iCs/>
          <w:sz w:val="28"/>
          <w:szCs w:val="28"/>
          <w:shd w:val="clear" w:color="auto" w:fill="FFFFFF"/>
        </w:rPr>
        <w:t xml:space="preserve">          </w:t>
      </w:r>
      <w:r w:rsidRPr="00F44F4B">
        <w:rPr>
          <w:iCs/>
          <w:sz w:val="28"/>
          <w:szCs w:val="28"/>
          <w:shd w:val="clear" w:color="auto" w:fill="FFFFFF"/>
        </w:rPr>
        <w:t xml:space="preserve">на сегодняшний день есть возможность проводить ограничение коммунальных услуг задолжника до погашения им </w:t>
      </w:r>
      <w:r w:rsidR="00ED0413">
        <w:rPr>
          <w:iCs/>
          <w:sz w:val="28"/>
          <w:szCs w:val="28"/>
          <w:shd w:val="clear" w:color="auto" w:fill="FFFFFF"/>
        </w:rPr>
        <w:t xml:space="preserve">                  </w:t>
      </w:r>
      <w:r w:rsidRPr="00F44F4B">
        <w:rPr>
          <w:iCs/>
          <w:sz w:val="28"/>
          <w:szCs w:val="28"/>
          <w:shd w:val="clear" w:color="auto" w:fill="FFFFFF"/>
        </w:rPr>
        <w:t xml:space="preserve">задолженности. Больше всего собственников интересует, какие права есть у управляющей компании по отношению к собственнику, </w:t>
      </w:r>
      <w:r w:rsidR="00ED0413">
        <w:rPr>
          <w:iCs/>
          <w:sz w:val="28"/>
          <w:szCs w:val="28"/>
          <w:shd w:val="clear" w:color="auto" w:fill="FFFFFF"/>
        </w:rPr>
        <w:t xml:space="preserve">                        если </w:t>
      </w:r>
      <w:r w:rsidRPr="00F44F4B">
        <w:rPr>
          <w:iCs/>
          <w:sz w:val="28"/>
          <w:szCs w:val="28"/>
          <w:shd w:val="clear" w:color="auto" w:fill="FFFFFF"/>
        </w:rPr>
        <w:t>тот не оплачивает за жилищно-коммунальные услуги.</w:t>
      </w:r>
      <w:r w:rsidRPr="00F44F4B">
        <w:rPr>
          <w:iCs/>
          <w:sz w:val="28"/>
          <w:szCs w:val="28"/>
        </w:rPr>
        <w:br/>
      </w:r>
    </w:p>
    <w:p w:rsidR="00935621" w:rsidRPr="00C9199F" w:rsidRDefault="00ED0413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Имеет ли право управляющая компания</w:t>
      </w:r>
      <w:r w:rsidR="00935621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</w:p>
    <w:p w:rsidR="00935621" w:rsidRDefault="00ED0413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отключить электроэнергию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ED0413" w:rsidRDefault="00ED0413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Чтобы выяснить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имеет ли право управляющая компания отключать электроэнергию разберем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две ситуации. Если к Вам на оплату электроэнергии приходит отдельная платежка от энергетической компании, то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значит поставщиком электричества является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 управляющая компания и значит и ограничивать эту услуга они не имеют право. </w:t>
      </w: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же Вы за электроэнергию оплачиваете общей платежкой в УК, то при выполнении всех требований 354 Постановления Правительства, об уведомлении Вас как должника, можно выполнять ограничение электроэнергии на определенное время.</w:t>
      </w: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D0413" w:rsidRPr="00C9199F" w:rsidRDefault="00ED0413" w:rsidP="00ED0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Имеет ли право управляющая компания</w:t>
      </w: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 </w:t>
      </w:r>
    </w:p>
    <w:p w:rsidR="00ED0413" w:rsidRDefault="00ED0413" w:rsidP="00ED0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начислять пени</w:t>
      </w: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ED0413" w:rsidRDefault="00ED0413" w:rsidP="00ED04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Если Вы не оплачиваете за жилищно-коммунальные,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то управляющая компания имеет право начислять Вам ежедневно пени в 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соответствии с п. 14 ст. 155 ЖК РФ, после 31 дня просрочки в размере одной трехсотой ставки рефинансирования утвержденной Центральным Банком РФ, а начиная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 91 дня просрочки уплачиваются ежедневно пени в размере одной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130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ставки рефинансирования от суммы задолженности.</w:t>
      </w:r>
      <w:proofErr w:type="gramEnd"/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74459F" w:rsidRDefault="00ED0413" w:rsidP="00ED04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 xml:space="preserve">Ответственность </w:t>
      </w:r>
    </w:p>
    <w:p w:rsidR="004A67A2" w:rsidRDefault="00ED0413" w:rsidP="00ED04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управляющей компании</w:t>
      </w: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»</w:t>
      </w: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Управляющая компания должна проводить очень широкий перечень работ в многоквартирном доме, иначе за бездействие её могут привлечь к ответственности. Ответственность перед законом управляющая компания несет, такую же, как и любая организация. Это может быть, как административная, так и уголовная ответственность. Основными надзорными органами, которые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следят за выполнением работы УК в настоящий момент является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Государственная жилищная инспекция и прокуратура. В меньшей мере, но также различными полномочиями по проверке компаний обладают органы местного самоуправления, пожарный надзор, </w:t>
      </w:r>
      <w:proofErr w:type="spell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Роспотребнадзор</w:t>
      </w:r>
      <w:proofErr w:type="spell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полиция и другие. </w:t>
      </w: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Каждая из этих организаций имеет право наложить существенный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штраф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как на должностное, так и на юридическое лицо за невыполнение требований действующего законодательства. Главная проблема — это доказать, что нарушение имело место быть. </w:t>
      </w:r>
    </w:p>
    <w:p w:rsid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Несколько слов здесь можно сказать и о лицензировании управляющих организаций. После того, как появилась обязанность управляющих организаций получить лицензию, в случае неудовлетворительной работы организации появилась возможность и лишать их этой лицензии. И вроде бы это должно повлиять на улучшение предоставления жилищно-коммунальных услуг. Но не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будем здесь особо об этом распылятся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так как полномочия в этом есть только у Государственной жилищной инспекции и только в судебном порядке.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Лишать лицензий направо и налево никто не собирается, в первую очередь потому что, если дом останется без управления, хотя и временном, то кто даст гарантию, что другая УО не будет осуществлять управление ещё хуже.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Здесь позиция органов власти такова, что собственники,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объединившись и так могут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переизбрать свою нерадивую управляющую организацию. А, если желания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объединятся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нет, то и смысла менять что-либо в многоквартирном доме тоже нет. </w:t>
      </w:r>
    </w:p>
    <w:p w:rsidR="00ED0413" w:rsidRPr="00ED0413" w:rsidRDefault="00ED0413" w:rsidP="00ED04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Вся работа управляющей компании закреплена различными законодательными актами. Используя </w:t>
      </w:r>
      <w:proofErr w:type="gramStart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их</w:t>
      </w:r>
      <w:proofErr w:type="gramEnd"/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умело можно добиться выполнения всех видов работ в многоквартирном доме. </w:t>
      </w:r>
      <w:r w:rsidR="007445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              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Но нельзя забывать, что от активности каждого собственника </w:t>
      </w:r>
      <w:r w:rsidR="0074459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      </w:t>
      </w:r>
      <w:r w:rsidRPr="00ED041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дома зависит благополучие всего дома.</w:t>
      </w:r>
      <w:r w:rsidRPr="00ED0413">
        <w:rPr>
          <w:rFonts w:ascii="Times New Roman" w:hAnsi="Times New Roman" w:cs="Times New Roman"/>
          <w:iCs/>
          <w:sz w:val="28"/>
          <w:szCs w:val="28"/>
        </w:rPr>
        <w:br/>
      </w:r>
    </w:p>
    <w:sectPr w:rsidR="00ED0413" w:rsidRPr="00ED0413" w:rsidSect="00ED0413">
      <w:pgSz w:w="11906" w:h="16838"/>
      <w:pgMar w:top="851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E5249"/>
    <w:rsid w:val="00301311"/>
    <w:rsid w:val="003053E4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935621"/>
    <w:rsid w:val="00953560"/>
    <w:rsid w:val="009553F9"/>
    <w:rsid w:val="00990250"/>
    <w:rsid w:val="00997E05"/>
    <w:rsid w:val="009D6FED"/>
    <w:rsid w:val="009F409C"/>
    <w:rsid w:val="00A37B65"/>
    <w:rsid w:val="00A71FAC"/>
    <w:rsid w:val="00A81314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53</cp:revision>
  <cp:lastPrinted>2020-08-25T02:16:00Z</cp:lastPrinted>
  <dcterms:created xsi:type="dcterms:W3CDTF">2018-09-24T09:07:00Z</dcterms:created>
  <dcterms:modified xsi:type="dcterms:W3CDTF">2020-09-24T03:59:00Z</dcterms:modified>
</cp:coreProperties>
</file>